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Raške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1118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Raška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4053794" cy="2325288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25837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28008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  <w:t xml:space="preserve">29856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29367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29475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28747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27791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24678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21498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Tabela 1. – Ukupan broj stanovnika po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11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Raška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25837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28008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29856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29367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2030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2320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1555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29475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1818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2150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2062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28747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1816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2075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1730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482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27791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1216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1431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1535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1882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24678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915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982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1073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1618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21498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pokazuju značajan pad ukupnog broja stanovnika u Raški tokom poslednjih decenija, kao i značajne promene u starosnoj strukturi. Ova analiza će istaknuti ključne trendove i uzroke promena.</w:t>
      </w:r>
      <w:r/>
    </w:p>
    <w:p>
      <w:pPr>
        <w:pStyle w:val="109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1961. godine:</w:t>
      </w:r>
      <w:r/>
    </w:p>
    <w:p>
      <w:pPr>
        <w:pStyle w:val="1266"/>
        <w:numPr>
          <w:ilvl w:val="0"/>
          <w:numId w:val="18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sa 25.837 (1948) na 29.856 (1961), što je posledica visokog nataliteta i povoljnih demografskih uslova posle Drugog svetskog rata.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i postepeni pad:</w:t>
      </w:r>
      <w:r/>
    </w:p>
    <w:p>
      <w:pPr>
        <w:pStyle w:val="1266"/>
        <w:numPr>
          <w:ilvl w:val="0"/>
          <w:numId w:val="18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stagnira između 1961. i 1981. godine (oko 29.000).</w:t>
      </w:r>
      <w:r/>
    </w:p>
    <w:p>
      <w:pPr>
        <w:pStyle w:val="1266"/>
        <w:numPr>
          <w:ilvl w:val="0"/>
          <w:numId w:val="19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1991. godine počinje pad koji je u poslednjim popisima značajan:</w:t>
      </w:r>
      <w:r/>
    </w:p>
    <w:p>
      <w:pPr>
        <w:pStyle w:val="1266"/>
        <w:numPr>
          <w:ilvl w:val="0"/>
          <w:numId w:val="19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1991: 28.747 stanovnika.</w:t>
      </w:r>
      <w:r/>
    </w:p>
    <w:p>
      <w:pPr>
        <w:pStyle w:val="1266"/>
        <w:numPr>
          <w:ilvl w:val="0"/>
          <w:numId w:val="19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2011: 24.678 stanovnika.</w:t>
      </w:r>
      <w:r/>
    </w:p>
    <w:p>
      <w:pPr>
        <w:pStyle w:val="1266"/>
        <w:numPr>
          <w:ilvl w:val="0"/>
          <w:numId w:val="19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21.498 stanovnika.</w:t>
      </w:r>
      <w:r/>
    </w:p>
    <w:p>
      <w:pPr>
        <w:pStyle w:val="1266"/>
        <w:numPr>
          <w:ilvl w:val="0"/>
          <w:numId w:val="19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predstavlja pad od oko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poslednjih 30 godina.</w:t>
      </w:r>
      <w:r/>
    </w:p>
    <w:p>
      <w:pPr>
        <w:pStyle w:val="109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266"/>
        <w:numPr>
          <w:ilvl w:val="0"/>
          <w:numId w:val="19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Konstantan pad:</w:t>
      </w:r>
      <w:r/>
    </w:p>
    <w:p>
      <w:pPr>
        <w:pStyle w:val="1266"/>
        <w:numPr>
          <w:ilvl w:val="0"/>
          <w:numId w:val="19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i mladih značajno opada, što ukazuje na smanjenje nataliteta. Na primer:</w:t>
      </w:r>
      <w:r/>
    </w:p>
    <w:p>
      <w:pPr>
        <w:pStyle w:val="1266"/>
        <w:numPr>
          <w:ilvl w:val="0"/>
          <w:numId w:val="19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8.137 (28% ukupne populacije).</w:t>
      </w:r>
      <w:r/>
    </w:p>
    <w:p>
      <w:pPr>
        <w:pStyle w:val="1266"/>
        <w:numPr>
          <w:ilvl w:val="0"/>
          <w:numId w:val="19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4.061 (19% ukupne populacije).</w:t>
      </w:r>
      <w:r/>
    </w:p>
    <w:p>
      <w:pPr>
        <w:pStyle w:val="1266"/>
        <w:numPr>
          <w:ilvl w:val="0"/>
          <w:numId w:val="19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 opada sa 2.084 (1981) na samo 915 (2022).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266"/>
        <w:numPr>
          <w:ilvl w:val="0"/>
          <w:numId w:val="20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Blagi pad:</w:t>
      </w:r>
      <w:r/>
    </w:p>
    <w:p>
      <w:pPr>
        <w:pStyle w:val="1266"/>
        <w:numPr>
          <w:ilvl w:val="0"/>
          <w:numId w:val="20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radno sposobnog stanovništva ostaje relativno stabilan, ali njihov udeo raste zbog pada mlađih grupa.</w:t>
      </w:r>
      <w:r/>
    </w:p>
    <w:p>
      <w:pPr>
        <w:pStyle w:val="1266"/>
        <w:numPr>
          <w:ilvl w:val="0"/>
          <w:numId w:val="20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14.374 (49% ukupne populacije).</w:t>
      </w:r>
      <w:r/>
    </w:p>
    <w:p>
      <w:pPr>
        <w:pStyle w:val="1266"/>
        <w:numPr>
          <w:ilvl w:val="0"/>
          <w:numId w:val="20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10.690 (50% ukupne populacije).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266"/>
        <w:numPr>
          <w:ilvl w:val="0"/>
          <w:numId w:val="20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rast:</w:t>
      </w:r>
      <w:r/>
    </w:p>
    <w:p>
      <w:pPr>
        <w:pStyle w:val="1266"/>
        <w:numPr>
          <w:ilvl w:val="0"/>
          <w:numId w:val="20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starijih od 60 godina raste, što ukazuje na starenje populacije. Na primer:</w:t>
      </w:r>
      <w:r/>
    </w:p>
    <w:p>
      <w:pPr>
        <w:pStyle w:val="1266"/>
        <w:numPr>
          <w:ilvl w:val="0"/>
          <w:numId w:val="20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4.355 (15% populacije).</w:t>
      </w:r>
      <w:r/>
    </w:p>
    <w:p>
      <w:pPr>
        <w:pStyle w:val="1266"/>
        <w:numPr>
          <w:ilvl w:val="0"/>
          <w:numId w:val="20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6.747 (31% populacije).</w:t>
      </w:r>
      <w:r/>
    </w:p>
    <w:p>
      <w:pPr>
        <w:pStyle w:val="109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266"/>
        <w:numPr>
          <w:ilvl w:val="0"/>
          <w:numId w:val="20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mlađim starosnim grupama (0–4, 5–9) konstantno opada. Ovo je direktan pokazatelj niskog nataliteta i smanjenja prirodnog priraštaja.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Migracije:</w:t>
      </w:r>
      <w:r/>
    </w:p>
    <w:p>
      <w:pPr>
        <w:pStyle w:val="1266"/>
        <w:numPr>
          <w:ilvl w:val="0"/>
          <w:numId w:val="20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je pogođena migracijama mladih i radno sposobnih stanovnika ka urbanim centrima i inostranstvu. Odlazak mladih dodatno smanjuje prirodni priraštaj.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266"/>
        <w:numPr>
          <w:ilvl w:val="0"/>
          <w:numId w:val="2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od 60 godina u populaciji raste, dok mlađe generacije čine sve manji procenat. Ovo ima ozbiljne implikacije na zdravstvene i socijalne usluge.</w:t>
      </w:r>
      <w:r/>
    </w:p>
    <w:p>
      <w:pPr>
        <w:pStyle w:val="109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može se očekivati: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266"/>
        <w:numPr>
          <w:ilvl w:val="0"/>
          <w:numId w:val="2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266"/>
        <w:numPr>
          <w:ilvl w:val="0"/>
          <w:numId w:val="2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mogao bi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18.500–19.000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266"/>
        <w:numPr>
          <w:ilvl w:val="0"/>
          <w:numId w:val="2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266"/>
        <w:numPr>
          <w:ilvl w:val="0"/>
          <w:numId w:val="2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16.000–17.000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09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266"/>
        <w:numPr>
          <w:ilvl w:val="0"/>
          <w:numId w:val="21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266"/>
        <w:numPr>
          <w:ilvl w:val="0"/>
          <w:numId w:val="21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nastaviti da opada, dostižući oko 15–17% ukupne populacije.</w:t>
      </w:r>
      <w:r/>
    </w:p>
    <w:p>
      <w:pPr>
        <w:pStyle w:val="1266"/>
        <w:numPr>
          <w:ilvl w:val="0"/>
          <w:numId w:val="21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266"/>
        <w:numPr>
          <w:ilvl w:val="0"/>
          <w:numId w:val="21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od 60 godina mogao bi dostići 35–40% ukupne populacije.</w:t>
      </w:r>
      <w:r/>
    </w:p>
    <w:p>
      <w:pPr>
        <w:pStyle w:val="109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266"/>
        <w:numPr>
          <w:ilvl w:val="0"/>
          <w:numId w:val="22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se suočava sa smanjenjem broja stanovnika, niskim natalitetom i ubrzanim starenjem populacije.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1266"/>
        <w:numPr>
          <w:ilvl w:val="0"/>
          <w:numId w:val="22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rađanja: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Uvođenje subvencija za porodice i podrške za mlade roditelje.</w:t>
      </w:r>
      <w:r/>
    </w:p>
    <w:p>
      <w:pPr>
        <w:pStyle w:val="1266"/>
        <w:numPr>
          <w:ilvl w:val="0"/>
          <w:numId w:val="22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Ekonomski razvoj: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Kreiranje radnih mesta kako bi se zadržali mladi i smanjile migracije.</w:t>
      </w:r>
      <w:r/>
    </w:p>
    <w:p>
      <w:pPr>
        <w:pStyle w:val="1266"/>
        <w:numPr>
          <w:ilvl w:val="0"/>
          <w:numId w:val="22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Prilagođavanje usluga: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infrastrukturu za stariju populaciju, uključujući zdravstvene i socijalne usluge.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right"/>
    </w:pPr>
    <w:fldSimple w:instr="PAGE \* MERGEFORMAT">
      <w:r>
        <w:t xml:space="preserve">1</w:t>
      </w:r>
    </w:fldSimple>
    <w:r/>
    <w:r/>
  </w:p>
  <w:p>
    <w:pPr>
      <w:pStyle w:val="111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86">
    <w:name w:val="Heading 1"/>
    <w:basedOn w:val="1262"/>
    <w:next w:val="1262"/>
    <w:link w:val="10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87">
    <w:name w:val="Heading 1 Char"/>
    <w:link w:val="1086"/>
    <w:uiPriority w:val="9"/>
    <w:rPr>
      <w:rFonts w:ascii="Arial" w:hAnsi="Arial" w:eastAsia="Arial" w:cs="Arial"/>
      <w:sz w:val="40"/>
      <w:szCs w:val="40"/>
    </w:rPr>
  </w:style>
  <w:style w:type="paragraph" w:styleId="1088">
    <w:name w:val="Heading 2"/>
    <w:basedOn w:val="1262"/>
    <w:next w:val="1262"/>
    <w:link w:val="10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89">
    <w:name w:val="Heading 2 Char"/>
    <w:link w:val="1088"/>
    <w:uiPriority w:val="9"/>
    <w:rPr>
      <w:rFonts w:ascii="Arial" w:hAnsi="Arial" w:eastAsia="Arial" w:cs="Arial"/>
      <w:sz w:val="34"/>
    </w:rPr>
  </w:style>
  <w:style w:type="paragraph" w:styleId="1090">
    <w:name w:val="Heading 3"/>
    <w:basedOn w:val="1262"/>
    <w:next w:val="1262"/>
    <w:link w:val="10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1">
    <w:name w:val="Heading 3 Char"/>
    <w:link w:val="1090"/>
    <w:uiPriority w:val="9"/>
    <w:rPr>
      <w:rFonts w:ascii="Arial" w:hAnsi="Arial" w:eastAsia="Arial" w:cs="Arial"/>
      <w:sz w:val="30"/>
      <w:szCs w:val="30"/>
    </w:rPr>
  </w:style>
  <w:style w:type="paragraph" w:styleId="1092">
    <w:name w:val="Heading 4"/>
    <w:basedOn w:val="1262"/>
    <w:next w:val="1262"/>
    <w:link w:val="10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3">
    <w:name w:val="Heading 4 Char"/>
    <w:link w:val="1092"/>
    <w:uiPriority w:val="9"/>
    <w:rPr>
      <w:rFonts w:ascii="Arial" w:hAnsi="Arial" w:eastAsia="Arial" w:cs="Arial"/>
      <w:b/>
      <w:bCs/>
      <w:sz w:val="26"/>
      <w:szCs w:val="26"/>
    </w:rPr>
  </w:style>
  <w:style w:type="paragraph" w:styleId="1094">
    <w:name w:val="Heading 5"/>
    <w:basedOn w:val="1262"/>
    <w:next w:val="1262"/>
    <w:link w:val="10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5">
    <w:name w:val="Heading 5 Char"/>
    <w:link w:val="1094"/>
    <w:uiPriority w:val="9"/>
    <w:rPr>
      <w:rFonts w:ascii="Arial" w:hAnsi="Arial" w:eastAsia="Arial" w:cs="Arial"/>
      <w:b/>
      <w:bCs/>
      <w:sz w:val="24"/>
      <w:szCs w:val="24"/>
    </w:rPr>
  </w:style>
  <w:style w:type="paragraph" w:styleId="1096">
    <w:name w:val="Heading 6"/>
    <w:basedOn w:val="1262"/>
    <w:next w:val="1262"/>
    <w:link w:val="10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7">
    <w:name w:val="Heading 6 Char"/>
    <w:link w:val="1096"/>
    <w:uiPriority w:val="9"/>
    <w:rPr>
      <w:rFonts w:ascii="Arial" w:hAnsi="Arial" w:eastAsia="Arial" w:cs="Arial"/>
      <w:b/>
      <w:bCs/>
      <w:sz w:val="22"/>
      <w:szCs w:val="22"/>
    </w:rPr>
  </w:style>
  <w:style w:type="paragraph" w:styleId="1098">
    <w:name w:val="Heading 7"/>
    <w:basedOn w:val="1262"/>
    <w:next w:val="1262"/>
    <w:link w:val="10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9">
    <w:name w:val="Heading 7 Char"/>
    <w:link w:val="10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0">
    <w:name w:val="Heading 8"/>
    <w:basedOn w:val="1262"/>
    <w:next w:val="1262"/>
    <w:link w:val="11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1">
    <w:name w:val="Heading 8 Char"/>
    <w:link w:val="1100"/>
    <w:uiPriority w:val="9"/>
    <w:rPr>
      <w:rFonts w:ascii="Arial" w:hAnsi="Arial" w:eastAsia="Arial" w:cs="Arial"/>
      <w:i/>
      <w:iCs/>
      <w:sz w:val="22"/>
      <w:szCs w:val="22"/>
    </w:rPr>
  </w:style>
  <w:style w:type="paragraph" w:styleId="1102">
    <w:name w:val="Heading 9"/>
    <w:basedOn w:val="1262"/>
    <w:next w:val="1262"/>
    <w:link w:val="11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3">
    <w:name w:val="Heading 9 Char"/>
    <w:link w:val="1102"/>
    <w:uiPriority w:val="9"/>
    <w:rPr>
      <w:rFonts w:ascii="Arial" w:hAnsi="Arial" w:eastAsia="Arial" w:cs="Arial"/>
      <w:i/>
      <w:iCs/>
      <w:sz w:val="21"/>
      <w:szCs w:val="21"/>
    </w:rPr>
  </w:style>
  <w:style w:type="paragraph" w:styleId="1104">
    <w:name w:val="Title"/>
    <w:basedOn w:val="1262"/>
    <w:next w:val="1262"/>
    <w:link w:val="11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05">
    <w:name w:val="Title Char"/>
    <w:link w:val="1104"/>
    <w:uiPriority w:val="10"/>
    <w:rPr>
      <w:sz w:val="48"/>
      <w:szCs w:val="48"/>
    </w:rPr>
  </w:style>
  <w:style w:type="paragraph" w:styleId="1106">
    <w:name w:val="Subtitle"/>
    <w:basedOn w:val="1262"/>
    <w:next w:val="1262"/>
    <w:link w:val="1107"/>
    <w:uiPriority w:val="11"/>
    <w:qFormat/>
    <w:pPr>
      <w:spacing w:before="200" w:after="200"/>
    </w:pPr>
    <w:rPr>
      <w:sz w:val="24"/>
      <w:szCs w:val="24"/>
    </w:rPr>
  </w:style>
  <w:style w:type="character" w:styleId="1107">
    <w:name w:val="Subtitle Char"/>
    <w:link w:val="1106"/>
    <w:uiPriority w:val="11"/>
    <w:rPr>
      <w:sz w:val="24"/>
      <w:szCs w:val="24"/>
    </w:rPr>
  </w:style>
  <w:style w:type="paragraph" w:styleId="1108">
    <w:name w:val="Quote"/>
    <w:basedOn w:val="1262"/>
    <w:next w:val="1262"/>
    <w:link w:val="1109"/>
    <w:uiPriority w:val="29"/>
    <w:qFormat/>
    <w:pPr>
      <w:ind w:left="720" w:right="720"/>
    </w:pPr>
    <w:rPr>
      <w:i/>
    </w:rPr>
  </w:style>
  <w:style w:type="character" w:styleId="1109">
    <w:name w:val="Quote Char"/>
    <w:link w:val="1108"/>
    <w:uiPriority w:val="29"/>
    <w:rPr>
      <w:i/>
    </w:rPr>
  </w:style>
  <w:style w:type="paragraph" w:styleId="1110">
    <w:name w:val="Intense Quote"/>
    <w:basedOn w:val="1262"/>
    <w:next w:val="1262"/>
    <w:link w:val="11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11">
    <w:name w:val="Intense Quote Char"/>
    <w:link w:val="1110"/>
    <w:uiPriority w:val="30"/>
    <w:rPr>
      <w:i/>
    </w:rPr>
  </w:style>
  <w:style w:type="paragraph" w:styleId="1112">
    <w:name w:val="Header"/>
    <w:basedOn w:val="1262"/>
    <w:link w:val="11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3">
    <w:name w:val="Header Char"/>
    <w:link w:val="1112"/>
    <w:uiPriority w:val="99"/>
  </w:style>
  <w:style w:type="paragraph" w:styleId="1114">
    <w:name w:val="Footer"/>
    <w:basedOn w:val="1262"/>
    <w:link w:val="11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5">
    <w:name w:val="Footer Char"/>
    <w:link w:val="1114"/>
    <w:uiPriority w:val="99"/>
  </w:style>
  <w:style w:type="paragraph" w:styleId="1116">
    <w:name w:val="Caption"/>
    <w:basedOn w:val="1262"/>
    <w:next w:val="12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17">
    <w:name w:val="Caption Char"/>
    <w:basedOn w:val="1116"/>
    <w:link w:val="1114"/>
    <w:uiPriority w:val="99"/>
  </w:style>
  <w:style w:type="table" w:styleId="1118">
    <w:name w:val="Table Grid"/>
    <w:basedOn w:val="12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9">
    <w:name w:val="Table Grid Light"/>
    <w:basedOn w:val="12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0">
    <w:name w:val="Plain Table 1"/>
    <w:basedOn w:val="12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1">
    <w:name w:val="Plain Table 2"/>
    <w:basedOn w:val="12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2">
    <w:name w:val="Plain Table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3">
    <w:name w:val="Plain Table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Plain Table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5">
    <w:name w:val="Grid Table 1 Light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Grid Table 1 Light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Grid Table 1 Light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Grid Table 1 Light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Grid Table 1 Light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1 Light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2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2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2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2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2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2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3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3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3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3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3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3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4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7">
    <w:name w:val="Grid Table 4 - Accent 1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48">
    <w:name w:val="Grid Table 4 - Accent 2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9">
    <w:name w:val="Grid Table 4 - Accent 3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0">
    <w:name w:val="Grid Table 4 - Accent 4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1">
    <w:name w:val="Grid Table 4 - Accent 5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2">
    <w:name w:val="Grid Table 4 - Accent 6"/>
    <w:basedOn w:val="12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3">
    <w:name w:val="Grid Table 5 Dark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54">
    <w:name w:val="Grid Table 5 Dark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55">
    <w:name w:val="Grid Table 5 Dark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56">
    <w:name w:val="Grid Table 5 Dark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57">
    <w:name w:val="Grid Table 5 Dark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58">
    <w:name w:val="Grid Table 5 Dark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59">
    <w:name w:val="Grid Table 5 Dark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60">
    <w:name w:val="Grid Table 6 Colorful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1">
    <w:name w:val="Grid Table 6 Colorful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2">
    <w:name w:val="Grid Table 6 Colorful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3">
    <w:name w:val="Grid Table 6 Colorful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4">
    <w:name w:val="Grid Table 6 Colorful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5">
    <w:name w:val="Grid Table 6 Colorful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6">
    <w:name w:val="Grid Table 6 Colorful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7">
    <w:name w:val="Grid Table 7 Colorful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7 Colorful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7 Colorful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Grid Table 7 Colorful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Grid Table 7 Colorful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7 Colorful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Grid Table 7 Colorful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List Table 1 Light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List Table 1 Light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1 Light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List Table 1 Light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List Table 1 Light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2">
    <w:name w:val="List Table 2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3">
    <w:name w:val="List Table 2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4">
    <w:name w:val="List Table 2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5">
    <w:name w:val="List Table 2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86">
    <w:name w:val="List Table 2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87">
    <w:name w:val="List Table 2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8">
    <w:name w:val="List Table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3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3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3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3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3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4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4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4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5 Dark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3">
    <w:name w:val="List Table 5 Dark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4">
    <w:name w:val="List Table 5 Dark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5">
    <w:name w:val="List Table 5 Dark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6">
    <w:name w:val="List Table 5 Dark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7">
    <w:name w:val="List Table 5 Dark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8">
    <w:name w:val="List Table 5 Dark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6 Colorful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0">
    <w:name w:val="List Table 6 Colorful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1">
    <w:name w:val="List Table 6 Colorful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2">
    <w:name w:val="List Table 6 Colorful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3">
    <w:name w:val="List Table 6 Colorful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4">
    <w:name w:val="List Table 6 Colorful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5">
    <w:name w:val="List Table 6 Colorful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16">
    <w:name w:val="List Table 7 Colorful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17">
    <w:name w:val="List Table 7 Colorful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18">
    <w:name w:val="List Table 7 Colorful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19">
    <w:name w:val="List Table 7 Colorful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20">
    <w:name w:val="List Table 7 Colorful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21">
    <w:name w:val="List Table 7 Colorful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22">
    <w:name w:val="List Table 7 Colorful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23">
    <w:name w:val="Lined - Accent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4">
    <w:name w:val="Lined - Accent 1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25">
    <w:name w:val="Lined - Accent 2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26">
    <w:name w:val="Lined - Accent 3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27">
    <w:name w:val="Lined - Accent 4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28">
    <w:name w:val="Lined - Accent 5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29">
    <w:name w:val="Lined - Accent 6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30">
    <w:name w:val="Bordered &amp; Lined - Accent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1">
    <w:name w:val="Bordered &amp; Lined - Accent 1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2">
    <w:name w:val="Bordered &amp; Lined - Accent 2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3">
    <w:name w:val="Bordered &amp; Lined - Accent 3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4">
    <w:name w:val="Bordered &amp; Lined - Accent 4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5">
    <w:name w:val="Bordered &amp; Lined - Accent 5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36">
    <w:name w:val="Bordered &amp; Lined - Accent 6"/>
    <w:basedOn w:val="12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37">
    <w:name w:val="Bordered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38">
    <w:name w:val="Bordered - Accent 1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9">
    <w:name w:val="Bordered - Accent 2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0">
    <w:name w:val="Bordered - Accent 3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1">
    <w:name w:val="Bordered - Accent 4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2">
    <w:name w:val="Bordered - Accent 5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3">
    <w:name w:val="Bordered - Accent 6"/>
    <w:basedOn w:val="12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4">
    <w:name w:val="Hyperlink"/>
    <w:uiPriority w:val="99"/>
    <w:unhideWhenUsed/>
    <w:rPr>
      <w:color w:val="0000ff" w:themeColor="hyperlink"/>
      <w:u w:val="single"/>
    </w:rPr>
  </w:style>
  <w:style w:type="paragraph" w:styleId="1245">
    <w:name w:val="footnote text"/>
    <w:basedOn w:val="1262"/>
    <w:link w:val="1246"/>
    <w:uiPriority w:val="99"/>
    <w:semiHidden/>
    <w:unhideWhenUsed/>
    <w:pPr>
      <w:spacing w:after="40" w:line="240" w:lineRule="auto"/>
    </w:pPr>
    <w:rPr>
      <w:sz w:val="18"/>
    </w:rPr>
  </w:style>
  <w:style w:type="character" w:styleId="1246">
    <w:name w:val="Footnote Text Char"/>
    <w:link w:val="1245"/>
    <w:uiPriority w:val="99"/>
    <w:rPr>
      <w:sz w:val="18"/>
    </w:rPr>
  </w:style>
  <w:style w:type="character" w:styleId="1247">
    <w:name w:val="footnote reference"/>
    <w:uiPriority w:val="99"/>
    <w:unhideWhenUsed/>
    <w:rPr>
      <w:vertAlign w:val="superscript"/>
    </w:rPr>
  </w:style>
  <w:style w:type="paragraph" w:styleId="1248">
    <w:name w:val="endnote text"/>
    <w:basedOn w:val="1262"/>
    <w:link w:val="1249"/>
    <w:uiPriority w:val="99"/>
    <w:semiHidden/>
    <w:unhideWhenUsed/>
    <w:pPr>
      <w:spacing w:after="0" w:line="240" w:lineRule="auto"/>
    </w:pPr>
    <w:rPr>
      <w:sz w:val="20"/>
    </w:rPr>
  </w:style>
  <w:style w:type="character" w:styleId="1249">
    <w:name w:val="Endnote Text Char"/>
    <w:link w:val="1248"/>
    <w:uiPriority w:val="99"/>
    <w:rPr>
      <w:sz w:val="20"/>
    </w:rPr>
  </w:style>
  <w:style w:type="character" w:styleId="1250">
    <w:name w:val="endnote reference"/>
    <w:uiPriority w:val="99"/>
    <w:semiHidden/>
    <w:unhideWhenUsed/>
    <w:rPr>
      <w:vertAlign w:val="superscript"/>
    </w:rPr>
  </w:style>
  <w:style w:type="paragraph" w:styleId="1251">
    <w:name w:val="toc 1"/>
    <w:basedOn w:val="1262"/>
    <w:next w:val="1262"/>
    <w:uiPriority w:val="39"/>
    <w:unhideWhenUsed/>
    <w:pPr>
      <w:ind w:left="0" w:right="0" w:firstLine="0"/>
      <w:spacing w:after="57"/>
    </w:pPr>
  </w:style>
  <w:style w:type="paragraph" w:styleId="1252">
    <w:name w:val="toc 2"/>
    <w:basedOn w:val="1262"/>
    <w:next w:val="1262"/>
    <w:uiPriority w:val="39"/>
    <w:unhideWhenUsed/>
    <w:pPr>
      <w:ind w:left="283" w:right="0" w:firstLine="0"/>
      <w:spacing w:after="57"/>
    </w:pPr>
  </w:style>
  <w:style w:type="paragraph" w:styleId="1253">
    <w:name w:val="toc 3"/>
    <w:basedOn w:val="1262"/>
    <w:next w:val="1262"/>
    <w:uiPriority w:val="39"/>
    <w:unhideWhenUsed/>
    <w:pPr>
      <w:ind w:left="567" w:right="0" w:firstLine="0"/>
      <w:spacing w:after="57"/>
    </w:pPr>
  </w:style>
  <w:style w:type="paragraph" w:styleId="1254">
    <w:name w:val="toc 4"/>
    <w:basedOn w:val="1262"/>
    <w:next w:val="1262"/>
    <w:uiPriority w:val="39"/>
    <w:unhideWhenUsed/>
    <w:pPr>
      <w:ind w:left="850" w:right="0" w:firstLine="0"/>
      <w:spacing w:after="57"/>
    </w:pPr>
  </w:style>
  <w:style w:type="paragraph" w:styleId="1255">
    <w:name w:val="toc 5"/>
    <w:basedOn w:val="1262"/>
    <w:next w:val="1262"/>
    <w:uiPriority w:val="39"/>
    <w:unhideWhenUsed/>
    <w:pPr>
      <w:ind w:left="1134" w:right="0" w:firstLine="0"/>
      <w:spacing w:after="57"/>
    </w:pPr>
  </w:style>
  <w:style w:type="paragraph" w:styleId="1256">
    <w:name w:val="toc 6"/>
    <w:basedOn w:val="1262"/>
    <w:next w:val="1262"/>
    <w:uiPriority w:val="39"/>
    <w:unhideWhenUsed/>
    <w:pPr>
      <w:ind w:left="1417" w:right="0" w:firstLine="0"/>
      <w:spacing w:after="57"/>
    </w:pPr>
  </w:style>
  <w:style w:type="paragraph" w:styleId="1257">
    <w:name w:val="toc 7"/>
    <w:basedOn w:val="1262"/>
    <w:next w:val="1262"/>
    <w:uiPriority w:val="39"/>
    <w:unhideWhenUsed/>
    <w:pPr>
      <w:ind w:left="1701" w:right="0" w:firstLine="0"/>
      <w:spacing w:after="57"/>
    </w:pPr>
  </w:style>
  <w:style w:type="paragraph" w:styleId="1258">
    <w:name w:val="toc 8"/>
    <w:basedOn w:val="1262"/>
    <w:next w:val="1262"/>
    <w:uiPriority w:val="39"/>
    <w:unhideWhenUsed/>
    <w:pPr>
      <w:ind w:left="1984" w:right="0" w:firstLine="0"/>
      <w:spacing w:after="57"/>
    </w:pPr>
  </w:style>
  <w:style w:type="paragraph" w:styleId="1259">
    <w:name w:val="toc 9"/>
    <w:basedOn w:val="1262"/>
    <w:next w:val="1262"/>
    <w:uiPriority w:val="39"/>
    <w:unhideWhenUsed/>
    <w:pPr>
      <w:ind w:left="2268" w:right="0" w:firstLine="0"/>
      <w:spacing w:after="57"/>
    </w:pPr>
  </w:style>
  <w:style w:type="paragraph" w:styleId="1260">
    <w:name w:val="TOC Heading"/>
    <w:uiPriority w:val="39"/>
    <w:unhideWhenUsed/>
  </w:style>
  <w:style w:type="paragraph" w:styleId="1261">
    <w:name w:val="table of figures"/>
    <w:basedOn w:val="1262"/>
    <w:next w:val="1262"/>
    <w:uiPriority w:val="99"/>
    <w:unhideWhenUsed/>
    <w:pPr>
      <w:spacing w:after="0" w:afterAutospacing="0"/>
    </w:pPr>
  </w:style>
  <w:style w:type="paragraph" w:styleId="1262" w:default="1">
    <w:name w:val="Normal"/>
    <w:qFormat/>
  </w:style>
  <w:style w:type="table" w:styleId="12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64" w:default="1">
    <w:name w:val="No List"/>
    <w:uiPriority w:val="99"/>
    <w:semiHidden/>
    <w:unhideWhenUsed/>
  </w:style>
  <w:style w:type="paragraph" w:styleId="1265">
    <w:name w:val="No Spacing"/>
    <w:basedOn w:val="1262"/>
    <w:uiPriority w:val="1"/>
    <w:qFormat/>
    <w:pPr>
      <w:spacing w:after="0" w:line="240" w:lineRule="auto"/>
    </w:pPr>
  </w:style>
  <w:style w:type="paragraph" w:styleId="1266">
    <w:name w:val="List Paragraph"/>
    <w:basedOn w:val="1262"/>
    <w:uiPriority w:val="34"/>
    <w:qFormat/>
    <w:pPr>
      <w:contextualSpacing/>
      <w:ind w:left="720"/>
    </w:pPr>
  </w:style>
  <w:style w:type="character" w:styleId="12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Raške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Raška!$C$21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Raška!$B$22:$B$30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Raška!$C$22:$C$30</c:f>
              <c:numCache>
                <c:formatCode>General</c:formatCode>
                <c:ptCount val="9"/>
                <c:pt idx="0">
                  <c:v>25837</c:v>
                </c:pt>
                <c:pt idx="1">
                  <c:v>28008</c:v>
                </c:pt>
                <c:pt idx="2">
                  <c:v>29856</c:v>
                </c:pt>
                <c:pt idx="3">
                  <c:v>29367</c:v>
                </c:pt>
                <c:pt idx="4">
                  <c:v>29475</c:v>
                </c:pt>
                <c:pt idx="5">
                  <c:v>28747</c:v>
                </c:pt>
                <c:pt idx="6">
                  <c:v>27791</c:v>
                </c:pt>
                <c:pt idx="7">
                  <c:v>24678</c:v>
                </c:pt>
                <c:pt idx="8">
                  <c:v>21498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71"/>
        <c:axId val="511722072"/>
      </c:lineChart>
      <c:catAx>
        <c:axId val="511722071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72"/>
        <c:crosses val="autoZero"/>
        <c:auto val="1"/>
        <c:lblAlgn val="ctr"/>
        <c:lblOffset val="100"/>
        <c:noMultiLvlLbl val="0"/>
      </c:catAx>
      <c:valAx>
        <c:axId val="51172207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7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53793" cy="232528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 stanovnika Raške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Raška!$B$4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Raška!$C$3:$T$3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Raška!$C$4:$T$4</c:f>
              <c:numCache>
                <c:formatCode>General</c:formatCode>
                <c:ptCount val="18"/>
                <c:pt idx="0">
                  <c:v>2084</c:v>
                </c:pt>
                <c:pt idx="1">
                  <c:v>2180</c:v>
                </c:pt>
                <c:pt idx="2">
                  <c:v>1843</c:v>
                </c:pt>
                <c:pt idx="3">
                  <c:v>2030</c:v>
                </c:pt>
                <c:pt idx="4">
                  <c:v>2445</c:v>
                </c:pt>
                <c:pt idx="5">
                  <c:v>2757</c:v>
                </c:pt>
                <c:pt idx="6">
                  <c:v>2320</c:v>
                </c:pt>
                <c:pt idx="7">
                  <c:v>1555</c:v>
                </c:pt>
                <c:pt idx="8">
                  <c:v>2126</c:v>
                </c:pt>
                <c:pt idx="9">
                  <c:v>2356</c:v>
                </c:pt>
                <c:pt idx="10">
                  <c:v>2347</c:v>
                </c:pt>
                <c:pt idx="11">
                  <c:v>1400</c:v>
                </c:pt>
                <c:pt idx="12">
                  <c:v>1381</c:v>
                </c:pt>
                <c:pt idx="13">
                  <c:v>1574</c:v>
                </c:pt>
                <c:pt idx="14">
                  <c:v>1000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Raška!$B$5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Raška!$C$3:$T$3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Raška!$C$5:$T$5</c:f>
              <c:numCache>
                <c:formatCode>General</c:formatCode>
                <c:ptCount val="18"/>
                <c:pt idx="0">
                  <c:v>1689</c:v>
                </c:pt>
                <c:pt idx="1">
                  <c:v>1818</c:v>
                </c:pt>
                <c:pt idx="2">
                  <c:v>1951</c:v>
                </c:pt>
                <c:pt idx="3">
                  <c:v>2032</c:v>
                </c:pt>
                <c:pt idx="4">
                  <c:v>1733</c:v>
                </c:pt>
                <c:pt idx="5">
                  <c:v>1725</c:v>
                </c:pt>
                <c:pt idx="6">
                  <c:v>2184</c:v>
                </c:pt>
                <c:pt idx="7">
                  <c:v>2499</c:v>
                </c:pt>
                <c:pt idx="8">
                  <c:v>2143</c:v>
                </c:pt>
                <c:pt idx="9">
                  <c:v>1441</c:v>
                </c:pt>
                <c:pt idx="10">
                  <c:v>1977</c:v>
                </c:pt>
                <c:pt idx="11">
                  <c:v>2150</c:v>
                </c:pt>
                <c:pt idx="12">
                  <c:v>2062</c:v>
                </c:pt>
                <c:pt idx="13">
                  <c:v>1483</c:v>
                </c:pt>
                <c:pt idx="14">
                  <c:v>768</c:v>
                </c:pt>
                <c:pt idx="15">
                  <c:v>496</c:v>
                </c:pt>
                <c:pt idx="16">
                  <c:v>301</c:v>
                </c:pt>
                <c:pt idx="17">
                  <c:v>159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Raška!$B$6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Raška!$C$3:$T$3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Raška!$C$6:$T$6</c:f>
              <c:numCache>
                <c:formatCode>General</c:formatCode>
                <c:ptCount val="18"/>
                <c:pt idx="0">
                  <c:v>1201</c:v>
                </c:pt>
                <c:pt idx="1">
                  <c:v>1459</c:v>
                </c:pt>
                <c:pt idx="2">
                  <c:v>1471</c:v>
                </c:pt>
                <c:pt idx="3">
                  <c:v>1753</c:v>
                </c:pt>
                <c:pt idx="4">
                  <c:v>1836</c:v>
                </c:pt>
                <c:pt idx="5">
                  <c:v>1816</c:v>
                </c:pt>
                <c:pt idx="6">
                  <c:v>1581</c:v>
                </c:pt>
                <c:pt idx="7">
                  <c:v>1528</c:v>
                </c:pt>
                <c:pt idx="8">
                  <c:v>1966</c:v>
                </c:pt>
                <c:pt idx="9">
                  <c:v>2341</c:v>
                </c:pt>
                <c:pt idx="10">
                  <c:v>2075</c:v>
                </c:pt>
                <c:pt idx="11">
                  <c:v>1403</c:v>
                </c:pt>
                <c:pt idx="12">
                  <c:v>1659</c:v>
                </c:pt>
                <c:pt idx="13">
                  <c:v>1730</c:v>
                </c:pt>
                <c:pt idx="14">
                  <c:v>1571</c:v>
                </c:pt>
                <c:pt idx="15">
                  <c:v>956</c:v>
                </c:pt>
                <c:pt idx="16">
                  <c:v>482</c:v>
                </c:pt>
                <c:pt idx="17">
                  <c:v>153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Raška!$B$7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Raška!$C$3:$T$3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Raška!$C$7:$T$7</c:f>
              <c:numCache>
                <c:formatCode>General</c:formatCode>
                <c:ptCount val="18"/>
                <c:pt idx="0">
                  <c:v>1095</c:v>
                </c:pt>
                <c:pt idx="1">
                  <c:v>1176</c:v>
                </c:pt>
                <c:pt idx="2">
                  <c:v>1216</c:v>
                </c:pt>
                <c:pt idx="3">
                  <c:v>1431</c:v>
                </c:pt>
                <c:pt idx="4">
                  <c:v>1447</c:v>
                </c:pt>
                <c:pt idx="5">
                  <c:v>1495</c:v>
                </c:pt>
                <c:pt idx="6">
                  <c:v>1557</c:v>
                </c:pt>
                <c:pt idx="7">
                  <c:v>1677</c:v>
                </c:pt>
                <c:pt idx="8">
                  <c:v>1535</c:v>
                </c:pt>
                <c:pt idx="9">
                  <c:v>1496</c:v>
                </c:pt>
                <c:pt idx="10">
                  <c:v>1928</c:v>
                </c:pt>
                <c:pt idx="11">
                  <c:v>2167</c:v>
                </c:pt>
                <c:pt idx="12">
                  <c:v>1882</c:v>
                </c:pt>
                <c:pt idx="13">
                  <c:v>1205</c:v>
                </c:pt>
                <c:pt idx="14">
                  <c:v>1322</c:v>
                </c:pt>
                <c:pt idx="15">
                  <c:v>1103</c:v>
                </c:pt>
                <c:pt idx="16">
                  <c:v>672</c:v>
                </c:pt>
                <c:pt idx="17">
                  <c:v>274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Raška!$B$8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Raška!$C$3:$T$3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Raška!$C$8:$T$8</c:f>
              <c:numCache>
                <c:formatCode>General</c:formatCode>
                <c:ptCount val="18"/>
                <c:pt idx="0">
                  <c:v>915</c:v>
                </c:pt>
                <c:pt idx="1">
                  <c:v>982</c:v>
                </c:pt>
                <c:pt idx="2">
                  <c:v>1073</c:v>
                </c:pt>
                <c:pt idx="3">
                  <c:v>1091</c:v>
                </c:pt>
                <c:pt idx="4">
                  <c:v>1070</c:v>
                </c:pt>
                <c:pt idx="5">
                  <c:v>1093</c:v>
                </c:pt>
                <c:pt idx="6">
                  <c:v>1143</c:v>
                </c:pt>
                <c:pt idx="7">
                  <c:v>1324</c:v>
                </c:pt>
                <c:pt idx="8">
                  <c:v>1472</c:v>
                </c:pt>
                <c:pt idx="9">
                  <c:v>1618</c:v>
                </c:pt>
                <c:pt idx="10">
                  <c:v>1467</c:v>
                </c:pt>
                <c:pt idx="11">
                  <c:v>1343</c:v>
                </c:pt>
                <c:pt idx="12">
                  <c:v>1678</c:v>
                </c:pt>
                <c:pt idx="13">
                  <c:v>1910</c:v>
                </c:pt>
                <c:pt idx="14">
                  <c:v>1543</c:v>
                </c:pt>
                <c:pt idx="15">
                  <c:v>843</c:v>
                </c:pt>
                <c:pt idx="16">
                  <c:v>576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81"/>
        <c:axId val="511722082"/>
      </c:lineChart>
      <c:catAx>
        <c:axId val="511722081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82"/>
        <c:crosses val="autoZero"/>
        <c:auto val="1"/>
        <c:lblAlgn val="ctr"/>
        <c:lblOffset val="100"/>
        <c:noMultiLvlLbl val="0"/>
      </c:catAx>
      <c:valAx>
        <c:axId val="51172208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8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2024-12-30T22:04:49Z</dcterms:modified>
</cp:coreProperties>
</file>